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3AAF8" w14:textId="77777777" w:rsidR="00FD2A76" w:rsidRPr="00FD2A76" w:rsidRDefault="00FD2A76" w:rsidP="005A7ED0">
      <w:pPr>
        <w:spacing w:before="120" w:after="120" w:line="360" w:lineRule="auto"/>
        <w:jc w:val="both"/>
        <w:rPr>
          <w:rFonts w:ascii="Palatino Linotype" w:hAnsi="Palatino Linotype" w:cs="Arial"/>
          <w:b/>
        </w:rPr>
      </w:pPr>
    </w:p>
    <w:p w14:paraId="4335D50E" w14:textId="6BFD7F25" w:rsidR="005A7ED0" w:rsidRPr="00FD2A76" w:rsidRDefault="005A7ED0" w:rsidP="005A7ED0">
      <w:pPr>
        <w:spacing w:before="120" w:after="120" w:line="360" w:lineRule="auto"/>
        <w:jc w:val="both"/>
        <w:rPr>
          <w:rFonts w:ascii="Palatino Linotype" w:hAnsi="Palatino Linotype" w:cs="Arial"/>
          <w:b/>
        </w:rPr>
      </w:pPr>
      <w:r w:rsidRPr="00FD2A76">
        <w:rPr>
          <w:rFonts w:ascii="Palatino Linotype" w:hAnsi="Palatino Linotype"/>
          <w:noProof/>
          <w:position w:val="1"/>
          <w:lang w:eastAsia="fr-FR"/>
        </w:rPr>
        <w:drawing>
          <wp:anchor distT="0" distB="0" distL="114300" distR="114300" simplePos="0" relativeHeight="251659264" behindDoc="0" locked="0" layoutInCell="1" allowOverlap="1" wp14:anchorId="6FC8C8E5" wp14:editId="04CFF08E">
            <wp:simplePos x="0" y="0"/>
            <wp:positionH relativeFrom="margin">
              <wp:posOffset>3175</wp:posOffset>
            </wp:positionH>
            <wp:positionV relativeFrom="margin">
              <wp:posOffset>-459105</wp:posOffset>
            </wp:positionV>
            <wp:extent cx="1880235" cy="598805"/>
            <wp:effectExtent l="0" t="0" r="0" b="0"/>
            <wp:wrapSquare wrapText="bothSides"/>
            <wp:docPr id="26" name="image4.png"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Une image contenant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0235" cy="598805"/>
                    </a:xfrm>
                    <a:prstGeom prst="rect">
                      <a:avLst/>
                    </a:prstGeom>
                  </pic:spPr>
                </pic:pic>
              </a:graphicData>
            </a:graphic>
            <wp14:sizeRelV relativeFrom="margin">
              <wp14:pctHeight>0</wp14:pctHeight>
            </wp14:sizeRelV>
          </wp:anchor>
        </w:drawing>
      </w:r>
      <w:r w:rsidRPr="00FD2A76">
        <w:rPr>
          <w:rFonts w:ascii="Palatino Linotype" w:hAnsi="Palatino Linotype" w:cs="Arial"/>
          <w:b/>
        </w:rPr>
        <w:t>SYNTHESE MAEP</w:t>
      </w:r>
    </w:p>
    <w:p w14:paraId="033B55BA" w14:textId="5A46DF9D" w:rsidR="005A7ED0" w:rsidRPr="00FD2A76" w:rsidRDefault="005A7ED0" w:rsidP="005A7ED0">
      <w:pPr>
        <w:spacing w:after="0" w:line="276" w:lineRule="auto"/>
        <w:jc w:val="both"/>
        <w:rPr>
          <w:rFonts w:ascii="Palatino Linotype" w:hAnsi="Palatino Linotype"/>
          <w:b/>
          <w:bCs/>
        </w:rPr>
      </w:pPr>
      <w:r w:rsidRPr="00FD2A76">
        <w:rPr>
          <w:rFonts w:ascii="Palatino Linotype" w:hAnsi="Palatino Linotype"/>
          <w:b/>
          <w:bCs/>
        </w:rPr>
        <w:t>POINT DES REAL</w:t>
      </w:r>
      <w:r w:rsidR="00FD2A76" w:rsidRPr="00FD2A76">
        <w:rPr>
          <w:rFonts w:ascii="Palatino Linotype" w:hAnsi="Palatino Linotype"/>
          <w:b/>
          <w:bCs/>
        </w:rPr>
        <w:t xml:space="preserve">ISATIONS MAEP : </w:t>
      </w:r>
    </w:p>
    <w:p w14:paraId="165479AB" w14:textId="77777777" w:rsidR="005A7ED0" w:rsidRPr="00FD2A76" w:rsidRDefault="005A7ED0" w:rsidP="005A7ED0">
      <w:pPr>
        <w:spacing w:after="0" w:line="276" w:lineRule="auto"/>
        <w:jc w:val="both"/>
        <w:rPr>
          <w:rFonts w:ascii="Palatino Linotype" w:hAnsi="Palatino Linotype"/>
          <w:b/>
          <w:bCs/>
        </w:rPr>
      </w:pPr>
      <w:r w:rsidRPr="00FD2A76">
        <w:rPr>
          <w:rFonts w:ascii="Palatino Linotype" w:hAnsi="Palatino Linotype"/>
          <w:b/>
          <w:bCs/>
        </w:rPr>
        <w:t>Performances dans les filières agricoles</w:t>
      </w:r>
    </w:p>
    <w:p w14:paraId="41CC5856" w14:textId="77777777" w:rsidR="005A7ED0" w:rsidRPr="00FD2A76" w:rsidRDefault="005A7ED0" w:rsidP="005A7ED0">
      <w:pPr>
        <w:pStyle w:val="Paragraphedeliste"/>
        <w:numPr>
          <w:ilvl w:val="0"/>
          <w:numId w:val="6"/>
        </w:numPr>
        <w:spacing w:after="0" w:line="276" w:lineRule="auto"/>
        <w:jc w:val="both"/>
        <w:rPr>
          <w:rFonts w:ascii="Palatino Linotype" w:hAnsi="Palatino Linotype"/>
        </w:rPr>
      </w:pPr>
      <w:r w:rsidRPr="00FD2A76">
        <w:rPr>
          <w:rFonts w:ascii="Palatino Linotype" w:hAnsi="Palatino Linotype"/>
        </w:rPr>
        <w:t>Augmentation des productions avec des plans de développement ambitieux. Il est utile de s’attarder sur quelques chiffres. A titre d’illustration, nous étions à moins de 1,3 millions tonnes de maïs en 2016. Aujourd’hui, c’est 1,8 millions tonnes en 2023, soit une amélioration de 34%. Cette production suffit pour couvrir nos besoins internes actuels qui sont de l’ordre de 1 million de tonnes. Donc, le maïs ne devrait pas coûter cher si une bonne partie de la production ne sort pas du pays.</w:t>
      </w:r>
    </w:p>
    <w:p w14:paraId="5765A319" w14:textId="77777777" w:rsidR="005A7ED0" w:rsidRPr="00FD2A76" w:rsidRDefault="005A7ED0" w:rsidP="005A7ED0">
      <w:pPr>
        <w:pStyle w:val="Paragraphedeliste"/>
        <w:numPr>
          <w:ilvl w:val="0"/>
          <w:numId w:val="6"/>
        </w:numPr>
        <w:spacing w:after="0" w:line="276" w:lineRule="auto"/>
        <w:jc w:val="both"/>
        <w:rPr>
          <w:rFonts w:ascii="Palatino Linotype" w:hAnsi="Palatino Linotype"/>
        </w:rPr>
      </w:pPr>
      <w:r w:rsidRPr="00FD2A76">
        <w:rPr>
          <w:rFonts w:ascii="Palatino Linotype" w:hAnsi="Palatino Linotype"/>
        </w:rPr>
        <w:t xml:space="preserve">S’agissant du soja, 140.000 tonnes en 2016, plus de 422.000 tonnes en 2022, soit 3 fois le niveau d’avant, ce qui permet essentiellement d’alimenter les usines de transformation déjà installées à </w:t>
      </w:r>
      <w:proofErr w:type="spellStart"/>
      <w:r w:rsidRPr="00FD2A76">
        <w:rPr>
          <w:rFonts w:ascii="Palatino Linotype" w:hAnsi="Palatino Linotype"/>
        </w:rPr>
        <w:t>Glo-Djigbé</w:t>
      </w:r>
      <w:proofErr w:type="spellEnd"/>
      <w:r w:rsidRPr="00FD2A76">
        <w:rPr>
          <w:rFonts w:ascii="Palatino Linotype" w:hAnsi="Palatino Linotype"/>
        </w:rPr>
        <w:t xml:space="preserve"> et d’exporter l’excédent ;</w:t>
      </w:r>
    </w:p>
    <w:p w14:paraId="712ED756" w14:textId="77777777" w:rsidR="005A7ED0" w:rsidRPr="00FD2A76" w:rsidRDefault="005A7ED0" w:rsidP="005A7ED0">
      <w:pPr>
        <w:pStyle w:val="Paragraphedeliste"/>
        <w:numPr>
          <w:ilvl w:val="0"/>
          <w:numId w:val="6"/>
        </w:numPr>
        <w:spacing w:after="0" w:line="276" w:lineRule="auto"/>
        <w:jc w:val="both"/>
        <w:rPr>
          <w:rFonts w:ascii="Palatino Linotype" w:hAnsi="Palatino Linotype"/>
        </w:rPr>
      </w:pPr>
      <w:r w:rsidRPr="00FD2A76">
        <w:rPr>
          <w:rFonts w:ascii="Palatino Linotype" w:hAnsi="Palatino Linotype"/>
        </w:rPr>
        <w:t>Pour le riz, 204.000 tonnes de paddy avant 2016 pour 525.000 tonnes déjà en 2022, soit 2,5 fois le niveau avant 2016 ;</w:t>
      </w:r>
    </w:p>
    <w:p w14:paraId="2D07F59B" w14:textId="77777777" w:rsidR="005A7ED0" w:rsidRPr="00FD2A76" w:rsidRDefault="005A7ED0" w:rsidP="005A7ED0">
      <w:pPr>
        <w:pStyle w:val="Paragraphedeliste"/>
        <w:numPr>
          <w:ilvl w:val="0"/>
          <w:numId w:val="6"/>
        </w:numPr>
        <w:spacing w:after="0" w:line="276" w:lineRule="auto"/>
        <w:jc w:val="both"/>
        <w:rPr>
          <w:rFonts w:ascii="Palatino Linotype" w:hAnsi="Palatino Linotype"/>
        </w:rPr>
      </w:pPr>
      <w:r w:rsidRPr="00FD2A76">
        <w:rPr>
          <w:rFonts w:ascii="Palatino Linotype" w:hAnsi="Palatino Linotype"/>
        </w:rPr>
        <w:t>Le coton, 269.000 tonnes en 2015. Depuis 2016, la production moyenne annuelle s’établit à 641.000 tonnes soit une multiplication par 2,5 fois pratiquement, avec un pic de 766.273 tonnes en 2021 faisant du Bénin depuis 2019 le premier producteur africain avec pour ambition d’atteindre 1 million de tonnes à court terme. Nous y travaillons ;</w:t>
      </w:r>
    </w:p>
    <w:p w14:paraId="2565FC6C" w14:textId="77777777" w:rsidR="005A7ED0" w:rsidRPr="00FD2A76" w:rsidRDefault="005A7ED0" w:rsidP="005A7ED0">
      <w:pPr>
        <w:pStyle w:val="Paragraphedeliste"/>
        <w:numPr>
          <w:ilvl w:val="0"/>
          <w:numId w:val="6"/>
        </w:numPr>
        <w:spacing w:after="0" w:line="276" w:lineRule="auto"/>
        <w:jc w:val="both"/>
        <w:rPr>
          <w:rFonts w:ascii="Palatino Linotype" w:hAnsi="Palatino Linotype"/>
        </w:rPr>
      </w:pPr>
      <w:r w:rsidRPr="00FD2A76">
        <w:rPr>
          <w:rFonts w:ascii="Palatino Linotype" w:hAnsi="Palatino Linotype"/>
        </w:rPr>
        <w:t>Ananas : la production avant 2016 était de 244.000 tonnes. En 2022, elle a atteint 470.000 tonnes, soit un accroissement de 93% et nous mettons tout en œuvre pour atteindre 600.000 tonnes sous peu ;</w:t>
      </w:r>
    </w:p>
    <w:p w14:paraId="54918F27" w14:textId="77777777" w:rsidR="005A7ED0" w:rsidRPr="00FD2A76" w:rsidRDefault="005A7ED0" w:rsidP="005A7ED0">
      <w:pPr>
        <w:pStyle w:val="Paragraphedeliste"/>
        <w:numPr>
          <w:ilvl w:val="0"/>
          <w:numId w:val="6"/>
        </w:numPr>
        <w:spacing w:after="0" w:line="276" w:lineRule="auto"/>
        <w:jc w:val="both"/>
        <w:rPr>
          <w:rFonts w:ascii="Palatino Linotype" w:hAnsi="Palatino Linotype"/>
        </w:rPr>
      </w:pPr>
      <w:r w:rsidRPr="00FD2A76">
        <w:rPr>
          <w:rFonts w:ascii="Palatino Linotype" w:hAnsi="Palatino Linotype"/>
        </w:rPr>
        <w:t>Noix de cajou : avant 2016, la production était d'environ 91.000 tonnes sans subvention pour les plants. Depuis 2016, la production est passée à 187.000 tonnes en 2023, avec un rendement accru de 34% et une production augmentée de 105%. Nous subventionnons à hauteur de 500 FCFA le prix d’achat de plant certifié qui est de 600 FCFA.</w:t>
      </w:r>
    </w:p>
    <w:p w14:paraId="6F2DB5CA" w14:textId="77777777" w:rsidR="005A7ED0" w:rsidRPr="00FD2A76" w:rsidRDefault="005A7ED0" w:rsidP="005A7ED0">
      <w:pPr>
        <w:pStyle w:val="Paragraphedeliste"/>
        <w:spacing w:after="0" w:line="276" w:lineRule="auto"/>
        <w:jc w:val="both"/>
        <w:rPr>
          <w:rFonts w:ascii="Palatino Linotype" w:hAnsi="Palatino Linotype"/>
        </w:rPr>
      </w:pPr>
    </w:p>
    <w:p w14:paraId="47A3F26E" w14:textId="77777777" w:rsidR="005A7ED0" w:rsidRPr="00FD2A76" w:rsidRDefault="005A7ED0" w:rsidP="005A7ED0">
      <w:pPr>
        <w:spacing w:after="0" w:line="276" w:lineRule="auto"/>
        <w:jc w:val="both"/>
        <w:rPr>
          <w:rFonts w:ascii="Palatino Linotype" w:hAnsi="Palatino Linotype"/>
          <w:b/>
          <w:bCs/>
        </w:rPr>
      </w:pPr>
      <w:r w:rsidRPr="00FD2A76">
        <w:rPr>
          <w:rFonts w:ascii="Palatino Linotype" w:hAnsi="Palatino Linotype"/>
          <w:b/>
          <w:bCs/>
        </w:rPr>
        <w:t>Subvention des engrais</w:t>
      </w:r>
    </w:p>
    <w:p w14:paraId="77983D19" w14:textId="77777777" w:rsidR="005A7ED0" w:rsidRPr="00FD2A76" w:rsidRDefault="005A7ED0" w:rsidP="005A7ED0">
      <w:pPr>
        <w:pStyle w:val="Paragraphedeliste"/>
        <w:numPr>
          <w:ilvl w:val="0"/>
          <w:numId w:val="7"/>
        </w:numPr>
        <w:spacing w:after="0" w:line="276" w:lineRule="auto"/>
        <w:jc w:val="both"/>
        <w:rPr>
          <w:rFonts w:ascii="Palatino Linotype" w:hAnsi="Palatino Linotype"/>
        </w:rPr>
      </w:pPr>
      <w:r w:rsidRPr="00FD2A76">
        <w:rPr>
          <w:rFonts w:ascii="Palatino Linotype" w:hAnsi="Palatino Linotype"/>
        </w:rPr>
        <w:t>Au titre des campagnes agricoles 2022-2023, 2023-2024, 20224-2025 et en raison de la conjoncture internationale qui rend les intrants trop chers et inaccessibles aux producteurs, nous avons mis 110 milliards FCFA de subventions pour éviter à notre pays l’insécurité alimentaire.</w:t>
      </w:r>
    </w:p>
    <w:p w14:paraId="266CF1CD" w14:textId="77777777" w:rsidR="005A7ED0" w:rsidRPr="00FD2A76" w:rsidRDefault="005A7ED0" w:rsidP="005A7ED0">
      <w:pPr>
        <w:spacing w:after="0" w:line="276" w:lineRule="auto"/>
        <w:jc w:val="both"/>
        <w:rPr>
          <w:rFonts w:ascii="Palatino Linotype" w:hAnsi="Palatino Linotype"/>
          <w:b/>
          <w:bCs/>
        </w:rPr>
      </w:pPr>
    </w:p>
    <w:p w14:paraId="3C8519EB" w14:textId="77777777" w:rsidR="005A7ED0" w:rsidRPr="00FD2A76" w:rsidRDefault="005A7ED0" w:rsidP="005A7ED0">
      <w:pPr>
        <w:spacing w:after="0" w:line="276" w:lineRule="auto"/>
        <w:jc w:val="both"/>
        <w:rPr>
          <w:rFonts w:ascii="Palatino Linotype" w:hAnsi="Palatino Linotype"/>
          <w:b/>
          <w:bCs/>
        </w:rPr>
      </w:pPr>
      <w:r w:rsidRPr="00FD2A76">
        <w:rPr>
          <w:rFonts w:ascii="Palatino Linotype" w:hAnsi="Palatino Linotype"/>
          <w:b/>
          <w:bCs/>
        </w:rPr>
        <w:t>Aménagement hydro-agricole</w:t>
      </w:r>
    </w:p>
    <w:p w14:paraId="59401B0B" w14:textId="77777777" w:rsidR="005A7ED0" w:rsidRPr="00FD2A76" w:rsidRDefault="005A7ED0" w:rsidP="005A7ED0">
      <w:pPr>
        <w:pStyle w:val="Paragraphedeliste"/>
        <w:numPr>
          <w:ilvl w:val="0"/>
          <w:numId w:val="1"/>
        </w:numPr>
        <w:spacing w:after="0" w:line="276" w:lineRule="auto"/>
        <w:jc w:val="both"/>
        <w:rPr>
          <w:rFonts w:ascii="Palatino Linotype" w:hAnsi="Palatino Linotype"/>
        </w:rPr>
      </w:pPr>
      <w:r w:rsidRPr="00FD2A76">
        <w:rPr>
          <w:rFonts w:ascii="Palatino Linotype" w:hAnsi="Palatino Linotype"/>
        </w:rPr>
        <w:t>Avant 2016 : 6 200 ha, soit 2% du potentiel hydro-agricole du pays.</w:t>
      </w:r>
    </w:p>
    <w:p w14:paraId="0B5A6A90" w14:textId="77777777" w:rsidR="005A7ED0" w:rsidRPr="00FD2A76" w:rsidRDefault="005A7ED0" w:rsidP="005A7ED0">
      <w:pPr>
        <w:pStyle w:val="Paragraphedeliste"/>
        <w:numPr>
          <w:ilvl w:val="0"/>
          <w:numId w:val="1"/>
        </w:numPr>
        <w:spacing w:after="0" w:line="276" w:lineRule="auto"/>
        <w:jc w:val="both"/>
        <w:rPr>
          <w:rFonts w:ascii="Palatino Linotype" w:hAnsi="Palatino Linotype"/>
        </w:rPr>
      </w:pPr>
      <w:r w:rsidRPr="00FD2A76">
        <w:rPr>
          <w:rFonts w:ascii="Palatino Linotype" w:hAnsi="Palatino Linotype"/>
        </w:rPr>
        <w:t>Après 2016 : 25 440 ha dans 67 communes (4 fois la superficie antérieure).</w:t>
      </w:r>
    </w:p>
    <w:p w14:paraId="26B6C991" w14:textId="77777777" w:rsidR="005A7ED0" w:rsidRPr="00FD2A76" w:rsidRDefault="005A7ED0" w:rsidP="005A7ED0">
      <w:pPr>
        <w:pStyle w:val="Paragraphedeliste"/>
        <w:numPr>
          <w:ilvl w:val="0"/>
          <w:numId w:val="1"/>
        </w:numPr>
        <w:spacing w:after="0" w:line="276" w:lineRule="auto"/>
        <w:jc w:val="both"/>
        <w:rPr>
          <w:rFonts w:ascii="Palatino Linotype" w:hAnsi="Palatino Linotype"/>
        </w:rPr>
      </w:pPr>
      <w:r w:rsidRPr="00FD2A76">
        <w:rPr>
          <w:rFonts w:ascii="Palatino Linotype" w:hAnsi="Palatino Linotype"/>
        </w:rPr>
        <w:t>Perspectives : Aménager 50 000 ha pour renforcer la résilience de notre agriculture, conforter la sécurité alimentaire et enrichir nos producteurs.</w:t>
      </w:r>
    </w:p>
    <w:p w14:paraId="4D5F7C71" w14:textId="77777777" w:rsidR="005A7ED0" w:rsidRPr="00FD2A76" w:rsidRDefault="005A7ED0" w:rsidP="005A7ED0">
      <w:pPr>
        <w:spacing w:after="0" w:line="276" w:lineRule="auto"/>
        <w:jc w:val="both"/>
        <w:rPr>
          <w:rFonts w:ascii="Palatino Linotype" w:hAnsi="Palatino Linotype"/>
          <w:b/>
          <w:bCs/>
        </w:rPr>
      </w:pPr>
      <w:r w:rsidRPr="00FD2A76">
        <w:rPr>
          <w:rFonts w:ascii="Palatino Linotype" w:hAnsi="Palatino Linotype"/>
          <w:b/>
          <w:bCs/>
        </w:rPr>
        <w:lastRenderedPageBreak/>
        <w:t>Financement agricole</w:t>
      </w:r>
    </w:p>
    <w:p w14:paraId="6335E0CD" w14:textId="77777777" w:rsidR="005A7ED0" w:rsidRPr="00FD2A76" w:rsidRDefault="005A7ED0" w:rsidP="005A7ED0">
      <w:pPr>
        <w:pStyle w:val="Paragraphedeliste"/>
        <w:numPr>
          <w:ilvl w:val="0"/>
          <w:numId w:val="2"/>
        </w:numPr>
        <w:spacing w:after="0" w:line="276" w:lineRule="auto"/>
        <w:jc w:val="both"/>
        <w:rPr>
          <w:rFonts w:ascii="Palatino Linotype" w:hAnsi="Palatino Linotype"/>
        </w:rPr>
      </w:pPr>
      <w:r w:rsidRPr="00FD2A76">
        <w:rPr>
          <w:rFonts w:ascii="Palatino Linotype" w:hAnsi="Palatino Linotype"/>
        </w:rPr>
        <w:t xml:space="preserve">Avant 2016 : Instruments (FNDA et </w:t>
      </w:r>
      <w:proofErr w:type="spellStart"/>
      <w:r w:rsidRPr="00FD2A76">
        <w:rPr>
          <w:rFonts w:ascii="Palatino Linotype" w:hAnsi="Palatino Linotype"/>
        </w:rPr>
        <w:t>FADeC</w:t>
      </w:r>
      <w:proofErr w:type="spellEnd"/>
      <w:r w:rsidRPr="00FD2A76">
        <w:rPr>
          <w:rFonts w:ascii="Palatino Linotype" w:hAnsi="Palatino Linotype"/>
        </w:rPr>
        <w:t>-Agriculture) peu efficaces.</w:t>
      </w:r>
    </w:p>
    <w:p w14:paraId="24FE0BF0" w14:textId="77777777" w:rsidR="005A7ED0" w:rsidRPr="00FD2A76" w:rsidRDefault="005A7ED0" w:rsidP="005A7ED0">
      <w:pPr>
        <w:pStyle w:val="Paragraphedeliste"/>
        <w:numPr>
          <w:ilvl w:val="0"/>
          <w:numId w:val="2"/>
        </w:numPr>
        <w:spacing w:after="0" w:line="276" w:lineRule="auto"/>
        <w:jc w:val="both"/>
        <w:rPr>
          <w:rFonts w:ascii="Palatino Linotype" w:hAnsi="Palatino Linotype"/>
        </w:rPr>
      </w:pPr>
      <w:r w:rsidRPr="00FD2A76">
        <w:rPr>
          <w:rFonts w:ascii="Palatino Linotype" w:hAnsi="Palatino Linotype"/>
        </w:rPr>
        <w:t xml:space="preserve">Après 2016 : FNDA (financement de 3.000 projets pour plus de 19 Mds FCFA) et </w:t>
      </w:r>
      <w:proofErr w:type="spellStart"/>
      <w:r w:rsidRPr="00FD2A76">
        <w:rPr>
          <w:rFonts w:ascii="Palatino Linotype" w:hAnsi="Palatino Linotype"/>
        </w:rPr>
        <w:t>FADeC</w:t>
      </w:r>
      <w:proofErr w:type="spellEnd"/>
      <w:r w:rsidRPr="00FD2A76">
        <w:rPr>
          <w:rFonts w:ascii="Palatino Linotype" w:hAnsi="Palatino Linotype"/>
        </w:rPr>
        <w:t xml:space="preserve"> (330 Investissements Communaux pour lever 68 Mds FCFA).</w:t>
      </w:r>
    </w:p>
    <w:p w14:paraId="411CCC81" w14:textId="77777777" w:rsidR="005A7ED0" w:rsidRPr="00FD2A76" w:rsidRDefault="005A7ED0" w:rsidP="005A7ED0">
      <w:pPr>
        <w:pStyle w:val="Paragraphedeliste"/>
        <w:numPr>
          <w:ilvl w:val="0"/>
          <w:numId w:val="2"/>
        </w:numPr>
        <w:spacing w:after="0" w:line="276" w:lineRule="auto"/>
        <w:jc w:val="both"/>
        <w:rPr>
          <w:rFonts w:ascii="Palatino Linotype" w:hAnsi="Palatino Linotype"/>
        </w:rPr>
      </w:pPr>
      <w:r w:rsidRPr="00FD2A76">
        <w:rPr>
          <w:rFonts w:ascii="Palatino Linotype" w:hAnsi="Palatino Linotype"/>
        </w:rPr>
        <w:t>Perspectives : Améliorer la gouvernance et favoriser plus de financements pour impacter plusieurs milliers d’autres projets.</w:t>
      </w:r>
    </w:p>
    <w:p w14:paraId="08DE544C" w14:textId="77777777" w:rsidR="005A7ED0" w:rsidRPr="00FD2A76" w:rsidRDefault="005A7ED0" w:rsidP="005A7ED0">
      <w:pPr>
        <w:spacing w:after="0" w:line="276" w:lineRule="auto"/>
        <w:jc w:val="both"/>
        <w:rPr>
          <w:rFonts w:ascii="Palatino Linotype" w:hAnsi="Palatino Linotype"/>
          <w:b/>
          <w:bCs/>
        </w:rPr>
      </w:pPr>
      <w:r w:rsidRPr="00FD2A76">
        <w:rPr>
          <w:rFonts w:ascii="Palatino Linotype" w:hAnsi="Palatino Linotype"/>
          <w:b/>
          <w:bCs/>
        </w:rPr>
        <w:t>Mécanisation agricole</w:t>
      </w:r>
    </w:p>
    <w:p w14:paraId="54549C82" w14:textId="77777777" w:rsidR="005A7ED0" w:rsidRPr="00FD2A76" w:rsidRDefault="005A7ED0" w:rsidP="005A7ED0">
      <w:pPr>
        <w:pStyle w:val="Paragraphedeliste"/>
        <w:numPr>
          <w:ilvl w:val="0"/>
          <w:numId w:val="3"/>
        </w:numPr>
        <w:spacing w:after="0" w:line="276" w:lineRule="auto"/>
        <w:jc w:val="both"/>
        <w:rPr>
          <w:rFonts w:ascii="Palatino Linotype" w:hAnsi="Palatino Linotype"/>
        </w:rPr>
      </w:pPr>
      <w:r w:rsidRPr="00FD2A76">
        <w:rPr>
          <w:rFonts w:ascii="Palatino Linotype" w:hAnsi="Palatino Linotype"/>
        </w:rPr>
        <w:t>Avant 2016 : Taux de mécanisation inférieur à 8%.</w:t>
      </w:r>
    </w:p>
    <w:p w14:paraId="4D050A35" w14:textId="77777777" w:rsidR="005A7ED0" w:rsidRPr="00FD2A76" w:rsidRDefault="005A7ED0" w:rsidP="005A7ED0">
      <w:pPr>
        <w:pStyle w:val="Paragraphedeliste"/>
        <w:numPr>
          <w:ilvl w:val="0"/>
          <w:numId w:val="3"/>
        </w:numPr>
        <w:spacing w:after="0" w:line="276" w:lineRule="auto"/>
        <w:jc w:val="both"/>
        <w:rPr>
          <w:rFonts w:ascii="Palatino Linotype" w:hAnsi="Palatino Linotype"/>
        </w:rPr>
      </w:pPr>
      <w:r w:rsidRPr="00FD2A76">
        <w:rPr>
          <w:rFonts w:ascii="Palatino Linotype" w:hAnsi="Palatino Linotype"/>
        </w:rPr>
        <w:t>Après 2016 : Taux doublé avec 400.000 ha labourés, 5000 kits de tracteurs subventionnés pour moitié prix, formation de 6.000 tractoristes et 300 mécaniciens. Nous facilitons donc de plus en plus le travail agricole et faisons gagner du temps et de l’argent à nos agriculteurs.</w:t>
      </w:r>
    </w:p>
    <w:p w14:paraId="55656B12" w14:textId="77777777" w:rsidR="005A7ED0" w:rsidRPr="00FD2A76" w:rsidRDefault="005A7ED0" w:rsidP="005A7ED0">
      <w:pPr>
        <w:pStyle w:val="Paragraphedeliste"/>
        <w:numPr>
          <w:ilvl w:val="0"/>
          <w:numId w:val="3"/>
        </w:numPr>
        <w:spacing w:after="0" w:line="276" w:lineRule="auto"/>
        <w:jc w:val="both"/>
        <w:rPr>
          <w:rFonts w:ascii="Palatino Linotype" w:hAnsi="Palatino Linotype"/>
        </w:rPr>
      </w:pPr>
      <w:r w:rsidRPr="00FD2A76">
        <w:rPr>
          <w:rFonts w:ascii="Palatino Linotype" w:hAnsi="Palatino Linotype"/>
        </w:rPr>
        <w:t>Perspectives : Porter à 30% le taux de mécanisation avec 8000 kits d’ici à 2026.</w:t>
      </w:r>
    </w:p>
    <w:p w14:paraId="2EC966E2" w14:textId="77777777" w:rsidR="005A7ED0" w:rsidRPr="00FD2A76" w:rsidRDefault="005A7ED0" w:rsidP="005A7ED0">
      <w:pPr>
        <w:spacing w:after="0" w:line="276" w:lineRule="auto"/>
        <w:jc w:val="both"/>
        <w:rPr>
          <w:rFonts w:ascii="Palatino Linotype" w:hAnsi="Palatino Linotype"/>
          <w:b/>
          <w:bCs/>
        </w:rPr>
      </w:pPr>
      <w:r w:rsidRPr="00FD2A76">
        <w:rPr>
          <w:rFonts w:ascii="Palatino Linotype" w:hAnsi="Palatino Linotype"/>
          <w:b/>
          <w:bCs/>
        </w:rPr>
        <w:t xml:space="preserve">Gestion durable </w:t>
      </w:r>
      <w:bookmarkStart w:id="0" w:name="_GoBack"/>
      <w:bookmarkEnd w:id="0"/>
      <w:r w:rsidRPr="00FD2A76">
        <w:rPr>
          <w:rFonts w:ascii="Palatino Linotype" w:hAnsi="Palatino Linotype"/>
          <w:b/>
          <w:bCs/>
        </w:rPr>
        <w:t>des terres</w:t>
      </w:r>
    </w:p>
    <w:p w14:paraId="7F7CC1AB" w14:textId="77777777" w:rsidR="005A7ED0" w:rsidRPr="00FD2A76" w:rsidRDefault="005A7ED0" w:rsidP="005A7ED0">
      <w:pPr>
        <w:pStyle w:val="Paragraphedeliste"/>
        <w:numPr>
          <w:ilvl w:val="0"/>
          <w:numId w:val="4"/>
        </w:numPr>
        <w:spacing w:after="0" w:line="276" w:lineRule="auto"/>
        <w:jc w:val="both"/>
        <w:rPr>
          <w:rFonts w:ascii="Palatino Linotype" w:hAnsi="Palatino Linotype"/>
        </w:rPr>
      </w:pPr>
      <w:r w:rsidRPr="00FD2A76">
        <w:rPr>
          <w:rFonts w:ascii="Palatino Linotype" w:hAnsi="Palatino Linotype"/>
        </w:rPr>
        <w:t>Avant 2016 : 80% des sols avaient un faible niveau de fertilité.</w:t>
      </w:r>
    </w:p>
    <w:p w14:paraId="701EA797" w14:textId="77777777" w:rsidR="005A7ED0" w:rsidRPr="00FD2A76" w:rsidRDefault="005A7ED0" w:rsidP="005A7ED0">
      <w:pPr>
        <w:pStyle w:val="Paragraphedeliste"/>
        <w:numPr>
          <w:ilvl w:val="0"/>
          <w:numId w:val="4"/>
        </w:numPr>
        <w:spacing w:after="0" w:line="276" w:lineRule="auto"/>
        <w:jc w:val="both"/>
        <w:rPr>
          <w:rFonts w:ascii="Palatino Linotype" w:hAnsi="Palatino Linotype"/>
        </w:rPr>
      </w:pPr>
      <w:r w:rsidRPr="00FD2A76">
        <w:rPr>
          <w:rFonts w:ascii="Palatino Linotype" w:hAnsi="Palatino Linotype"/>
        </w:rPr>
        <w:t>Après 2016 : Approches durables sur plus de 3 millions d’ha réhabilités, ce qui améliore leur fertilité donc les rendements et les préserve de la dégradation.</w:t>
      </w:r>
    </w:p>
    <w:p w14:paraId="63105067" w14:textId="77777777" w:rsidR="005A7ED0" w:rsidRPr="00FD2A76" w:rsidRDefault="005A7ED0" w:rsidP="005A7ED0">
      <w:pPr>
        <w:pStyle w:val="Paragraphedeliste"/>
        <w:numPr>
          <w:ilvl w:val="0"/>
          <w:numId w:val="4"/>
        </w:numPr>
        <w:spacing w:after="0" w:line="276" w:lineRule="auto"/>
        <w:jc w:val="both"/>
        <w:rPr>
          <w:rFonts w:ascii="Palatino Linotype" w:hAnsi="Palatino Linotype"/>
        </w:rPr>
      </w:pPr>
      <w:r w:rsidRPr="00FD2A76">
        <w:rPr>
          <w:rFonts w:ascii="Palatino Linotype" w:hAnsi="Palatino Linotype"/>
        </w:rPr>
        <w:t>Perspectives : Maintien et extension des technologies de production durable.</w:t>
      </w:r>
    </w:p>
    <w:p w14:paraId="03E965B3" w14:textId="77777777" w:rsidR="005A7ED0" w:rsidRPr="00FD2A76" w:rsidRDefault="005A7ED0" w:rsidP="005A7ED0">
      <w:pPr>
        <w:spacing w:after="0" w:line="276" w:lineRule="auto"/>
        <w:jc w:val="both"/>
        <w:rPr>
          <w:rFonts w:ascii="Palatino Linotype" w:hAnsi="Palatino Linotype"/>
          <w:b/>
          <w:bCs/>
        </w:rPr>
      </w:pPr>
      <w:r w:rsidRPr="00FD2A76">
        <w:rPr>
          <w:rFonts w:ascii="Palatino Linotype" w:hAnsi="Palatino Linotype"/>
          <w:b/>
          <w:bCs/>
        </w:rPr>
        <w:t>Assainissement des plans d’eau</w:t>
      </w:r>
    </w:p>
    <w:p w14:paraId="2BEF352F" w14:textId="77777777" w:rsidR="005A7ED0" w:rsidRPr="00FD2A76" w:rsidRDefault="005A7ED0" w:rsidP="005A7ED0">
      <w:pPr>
        <w:pStyle w:val="Paragraphedeliste"/>
        <w:numPr>
          <w:ilvl w:val="0"/>
          <w:numId w:val="5"/>
        </w:numPr>
        <w:spacing w:after="0" w:line="276" w:lineRule="auto"/>
        <w:jc w:val="both"/>
        <w:rPr>
          <w:rFonts w:ascii="Palatino Linotype" w:hAnsi="Palatino Linotype"/>
        </w:rPr>
      </w:pPr>
      <w:r w:rsidRPr="00FD2A76">
        <w:rPr>
          <w:rFonts w:ascii="Palatino Linotype" w:hAnsi="Palatino Linotype"/>
        </w:rPr>
        <w:t>Avant 2016 : Plans pollués et sous-exploités, menaces sur la biodiversité.</w:t>
      </w:r>
    </w:p>
    <w:p w14:paraId="12D8058C" w14:textId="77777777" w:rsidR="005A7ED0" w:rsidRPr="00FD2A76" w:rsidRDefault="005A7ED0" w:rsidP="005A7ED0">
      <w:pPr>
        <w:pStyle w:val="Paragraphedeliste"/>
        <w:numPr>
          <w:ilvl w:val="0"/>
          <w:numId w:val="5"/>
        </w:numPr>
        <w:spacing w:after="0" w:line="276" w:lineRule="auto"/>
        <w:jc w:val="both"/>
        <w:rPr>
          <w:rFonts w:ascii="Palatino Linotype" w:hAnsi="Palatino Linotype"/>
        </w:rPr>
      </w:pPr>
      <w:r w:rsidRPr="00FD2A76">
        <w:rPr>
          <w:rFonts w:ascii="Palatino Linotype" w:hAnsi="Palatino Linotype"/>
        </w:rPr>
        <w:t>Après 2016 : Réhabilitation et repeuplement, nos produits de pêche dont les crevettes s’exportent à nouveau vers le marché européen.</w:t>
      </w:r>
    </w:p>
    <w:p w14:paraId="04598B8D" w14:textId="77777777" w:rsidR="005A7ED0" w:rsidRPr="00FD2A76" w:rsidRDefault="005A7ED0" w:rsidP="005A7ED0">
      <w:pPr>
        <w:pStyle w:val="Paragraphedeliste"/>
        <w:numPr>
          <w:ilvl w:val="0"/>
          <w:numId w:val="5"/>
        </w:numPr>
        <w:spacing w:after="0" w:line="276" w:lineRule="auto"/>
        <w:jc w:val="both"/>
        <w:rPr>
          <w:rFonts w:ascii="Palatino Linotype" w:hAnsi="Palatino Linotype"/>
        </w:rPr>
      </w:pPr>
      <w:r w:rsidRPr="00FD2A76">
        <w:rPr>
          <w:rFonts w:ascii="Palatino Linotype" w:hAnsi="Palatino Linotype"/>
        </w:rPr>
        <w:t>Perspectives : développer l’industrie de crevette et les réserves biologiques en veillant au respect des standards.</w:t>
      </w:r>
    </w:p>
    <w:p w14:paraId="7A4B62D5" w14:textId="77777777" w:rsidR="005A7ED0" w:rsidRPr="00FD2A76" w:rsidRDefault="005A7ED0" w:rsidP="005A7ED0">
      <w:pPr>
        <w:spacing w:after="0" w:line="276" w:lineRule="auto"/>
        <w:jc w:val="both"/>
        <w:rPr>
          <w:rFonts w:ascii="Palatino Linotype" w:hAnsi="Palatino Linotype"/>
          <w:b/>
          <w:bCs/>
        </w:rPr>
      </w:pPr>
      <w:r w:rsidRPr="00FD2A76">
        <w:rPr>
          <w:rFonts w:ascii="Palatino Linotype" w:hAnsi="Palatino Linotype"/>
          <w:b/>
          <w:bCs/>
        </w:rPr>
        <w:t>Production animale</w:t>
      </w:r>
    </w:p>
    <w:p w14:paraId="391B7193" w14:textId="77777777" w:rsidR="005A7ED0" w:rsidRPr="00FD2A76" w:rsidRDefault="005A7ED0" w:rsidP="005A7ED0">
      <w:pPr>
        <w:pStyle w:val="Paragraphedeliste"/>
        <w:numPr>
          <w:ilvl w:val="0"/>
          <w:numId w:val="7"/>
        </w:numPr>
        <w:spacing w:after="0" w:line="276" w:lineRule="auto"/>
        <w:jc w:val="both"/>
        <w:rPr>
          <w:rFonts w:ascii="Palatino Linotype" w:hAnsi="Palatino Linotype"/>
        </w:rPr>
      </w:pPr>
      <w:r w:rsidRPr="00FD2A76">
        <w:rPr>
          <w:rFonts w:ascii="Palatino Linotype" w:hAnsi="Palatino Linotype"/>
        </w:rPr>
        <w:t>Augmentation de 53% de la viande et 43% des œufs.</w:t>
      </w:r>
    </w:p>
    <w:p w14:paraId="6CE0F954" w14:textId="77777777" w:rsidR="005A7ED0" w:rsidRPr="00FD2A76" w:rsidRDefault="005A7ED0" w:rsidP="005A7ED0">
      <w:pPr>
        <w:pStyle w:val="Paragraphedeliste"/>
        <w:numPr>
          <w:ilvl w:val="0"/>
          <w:numId w:val="7"/>
        </w:numPr>
        <w:spacing w:after="0" w:line="276" w:lineRule="auto"/>
        <w:jc w:val="both"/>
        <w:rPr>
          <w:rFonts w:ascii="Palatino Linotype" w:hAnsi="Palatino Linotype"/>
        </w:rPr>
      </w:pPr>
      <w:r w:rsidRPr="00FD2A76">
        <w:rPr>
          <w:rFonts w:ascii="Palatino Linotype" w:hAnsi="Palatino Linotype"/>
        </w:rPr>
        <w:t>Perspectives : Couverture à 75%, renforcer la production viande et d’œufs.</w:t>
      </w:r>
    </w:p>
    <w:p w14:paraId="0DC9FF0F" w14:textId="77777777" w:rsidR="005A7ED0" w:rsidRPr="00FD2A76" w:rsidRDefault="005A7ED0" w:rsidP="005A7ED0">
      <w:pPr>
        <w:spacing w:after="0" w:line="276" w:lineRule="auto"/>
        <w:jc w:val="both"/>
        <w:rPr>
          <w:rFonts w:ascii="Palatino Linotype" w:hAnsi="Palatino Linotype"/>
          <w:b/>
          <w:bCs/>
        </w:rPr>
      </w:pPr>
      <w:r w:rsidRPr="00FD2A76">
        <w:rPr>
          <w:rFonts w:ascii="Palatino Linotype" w:hAnsi="Palatino Linotype"/>
          <w:b/>
          <w:bCs/>
        </w:rPr>
        <w:t>Production halieutique</w:t>
      </w:r>
    </w:p>
    <w:p w14:paraId="194A9986" w14:textId="77777777" w:rsidR="005A7ED0" w:rsidRPr="00FD2A76" w:rsidRDefault="005A7ED0" w:rsidP="005A7ED0">
      <w:pPr>
        <w:pStyle w:val="Paragraphedeliste"/>
        <w:numPr>
          <w:ilvl w:val="0"/>
          <w:numId w:val="8"/>
        </w:numPr>
        <w:spacing w:after="0" w:line="276" w:lineRule="auto"/>
        <w:jc w:val="both"/>
        <w:rPr>
          <w:rFonts w:ascii="Palatino Linotype" w:hAnsi="Palatino Linotype"/>
        </w:rPr>
      </w:pPr>
      <w:r w:rsidRPr="00FD2A76">
        <w:rPr>
          <w:rFonts w:ascii="Palatino Linotype" w:hAnsi="Palatino Linotype"/>
        </w:rPr>
        <w:t>Production a augmenté de 79%</w:t>
      </w:r>
    </w:p>
    <w:p w14:paraId="5DF0708F" w14:textId="77777777" w:rsidR="005A7ED0" w:rsidRPr="00FD2A76" w:rsidRDefault="005A7ED0" w:rsidP="005A7ED0">
      <w:pPr>
        <w:pStyle w:val="Paragraphedeliste"/>
        <w:numPr>
          <w:ilvl w:val="0"/>
          <w:numId w:val="8"/>
        </w:numPr>
        <w:spacing w:after="0" w:line="276" w:lineRule="auto"/>
        <w:jc w:val="both"/>
        <w:rPr>
          <w:rFonts w:ascii="Palatino Linotype" w:hAnsi="Palatino Linotype"/>
        </w:rPr>
      </w:pPr>
      <w:r w:rsidRPr="00FD2A76">
        <w:rPr>
          <w:rFonts w:ascii="Palatino Linotype" w:hAnsi="Palatino Linotype"/>
        </w:rPr>
        <w:t xml:space="preserve">Perspectives :  Améliorer la production aquacole (renforcement des capacités) </w:t>
      </w:r>
    </w:p>
    <w:p w14:paraId="6C1B17B5" w14:textId="77777777" w:rsidR="005A7ED0" w:rsidRPr="00FD2A76" w:rsidRDefault="005A7ED0" w:rsidP="005A7ED0">
      <w:pPr>
        <w:spacing w:after="0" w:line="276" w:lineRule="auto"/>
        <w:jc w:val="both"/>
        <w:rPr>
          <w:rFonts w:ascii="Palatino Linotype" w:hAnsi="Palatino Linotype"/>
          <w:b/>
          <w:bCs/>
        </w:rPr>
      </w:pPr>
      <w:r w:rsidRPr="00FD2A76">
        <w:rPr>
          <w:rFonts w:ascii="Palatino Linotype" w:hAnsi="Palatino Linotype"/>
          <w:b/>
          <w:bCs/>
        </w:rPr>
        <w:t>Accès aux marchés agricoles</w:t>
      </w:r>
    </w:p>
    <w:p w14:paraId="66695AF6" w14:textId="77777777" w:rsidR="005A7ED0" w:rsidRPr="00FD2A76" w:rsidRDefault="005A7ED0" w:rsidP="005A7ED0">
      <w:pPr>
        <w:pStyle w:val="Paragraphedeliste"/>
        <w:numPr>
          <w:ilvl w:val="0"/>
          <w:numId w:val="8"/>
        </w:numPr>
        <w:spacing w:after="0" w:line="276" w:lineRule="auto"/>
        <w:jc w:val="both"/>
        <w:rPr>
          <w:rFonts w:ascii="Palatino Linotype" w:hAnsi="Palatino Linotype"/>
        </w:rPr>
      </w:pPr>
      <w:r w:rsidRPr="00FD2A76">
        <w:rPr>
          <w:rFonts w:ascii="Palatino Linotype" w:hAnsi="Palatino Linotype"/>
        </w:rPr>
        <w:t>Amélioration, renforcement partenariats internationaux.</w:t>
      </w:r>
    </w:p>
    <w:p w14:paraId="72D371E5" w14:textId="77777777" w:rsidR="005A7ED0" w:rsidRPr="00FD2A76" w:rsidRDefault="005A7ED0" w:rsidP="005A7ED0">
      <w:pPr>
        <w:spacing w:after="0" w:line="276" w:lineRule="auto"/>
        <w:jc w:val="both"/>
        <w:rPr>
          <w:rFonts w:ascii="Palatino Linotype" w:hAnsi="Palatino Linotype"/>
          <w:b/>
          <w:bCs/>
        </w:rPr>
      </w:pPr>
      <w:r w:rsidRPr="00FD2A76">
        <w:rPr>
          <w:rFonts w:ascii="Palatino Linotype" w:hAnsi="Palatino Linotype"/>
          <w:b/>
          <w:bCs/>
        </w:rPr>
        <w:t>Territorialisation développement agricole</w:t>
      </w:r>
    </w:p>
    <w:p w14:paraId="34C558ED" w14:textId="77777777" w:rsidR="005A7ED0" w:rsidRPr="00FD2A76" w:rsidRDefault="005A7ED0" w:rsidP="005A7ED0">
      <w:pPr>
        <w:pStyle w:val="Paragraphedeliste"/>
        <w:numPr>
          <w:ilvl w:val="0"/>
          <w:numId w:val="8"/>
        </w:numPr>
        <w:spacing w:after="0" w:line="276" w:lineRule="auto"/>
        <w:jc w:val="both"/>
        <w:rPr>
          <w:rFonts w:ascii="Palatino Linotype" w:hAnsi="Palatino Linotype"/>
        </w:rPr>
      </w:pPr>
      <w:r w:rsidRPr="00FD2A76">
        <w:rPr>
          <w:rFonts w:ascii="Palatino Linotype" w:hAnsi="Palatino Linotype"/>
        </w:rPr>
        <w:t>Renforcement fonctions régaliennes, promotion des filières.</w:t>
      </w:r>
    </w:p>
    <w:p w14:paraId="11F143F5" w14:textId="77777777" w:rsidR="005A7ED0" w:rsidRPr="00FD2A76" w:rsidRDefault="005A7ED0" w:rsidP="005A7ED0">
      <w:pPr>
        <w:pStyle w:val="Paragraphedeliste"/>
        <w:numPr>
          <w:ilvl w:val="0"/>
          <w:numId w:val="8"/>
        </w:numPr>
        <w:spacing w:after="0" w:line="276" w:lineRule="auto"/>
        <w:jc w:val="both"/>
        <w:rPr>
          <w:rFonts w:ascii="Palatino Linotype" w:hAnsi="Palatino Linotype"/>
        </w:rPr>
      </w:pPr>
      <w:r w:rsidRPr="00FD2A76">
        <w:rPr>
          <w:rFonts w:ascii="Palatino Linotype" w:hAnsi="Palatino Linotype"/>
        </w:rPr>
        <w:t>Perspectives : Renforcement capacités, outillage de contrôle.</w:t>
      </w:r>
    </w:p>
    <w:p w14:paraId="3976246D" w14:textId="77777777" w:rsidR="00610DC7" w:rsidRPr="00FD2A76" w:rsidRDefault="00610DC7"/>
    <w:sectPr w:rsidR="00610DC7" w:rsidRPr="00FD2A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912AD"/>
    <w:multiLevelType w:val="hybridMultilevel"/>
    <w:tmpl w:val="2FC63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8A5E64"/>
    <w:multiLevelType w:val="hybridMultilevel"/>
    <w:tmpl w:val="FB881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9B59B3"/>
    <w:multiLevelType w:val="hybridMultilevel"/>
    <w:tmpl w:val="053E8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DC0ED6"/>
    <w:multiLevelType w:val="hybridMultilevel"/>
    <w:tmpl w:val="C20CB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5F328D"/>
    <w:multiLevelType w:val="hybridMultilevel"/>
    <w:tmpl w:val="B0B0E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867C27"/>
    <w:multiLevelType w:val="hybridMultilevel"/>
    <w:tmpl w:val="5FA0F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584CBA"/>
    <w:multiLevelType w:val="hybridMultilevel"/>
    <w:tmpl w:val="7A94F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621644"/>
    <w:multiLevelType w:val="hybridMultilevel"/>
    <w:tmpl w:val="EACE9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D0"/>
    <w:rsid w:val="001F6E41"/>
    <w:rsid w:val="00211EC0"/>
    <w:rsid w:val="005A7ED0"/>
    <w:rsid w:val="00610DC7"/>
    <w:rsid w:val="00AA33B6"/>
    <w:rsid w:val="00FD2A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59BE"/>
  <w15:chartTrackingRefBased/>
  <w15:docId w15:val="{10A5DCAD-499B-4120-8AD7-699A6E6E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ED0"/>
    <w:rPr>
      <w:kern w:val="0"/>
      <w14:ligatures w14:val="none"/>
    </w:rPr>
  </w:style>
  <w:style w:type="paragraph" w:styleId="Titre1">
    <w:name w:val="heading 1"/>
    <w:basedOn w:val="Normal"/>
    <w:next w:val="Normal"/>
    <w:link w:val="Titre1Car"/>
    <w:uiPriority w:val="9"/>
    <w:qFormat/>
    <w:rsid w:val="005A7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A7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A7ED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A7ED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A7ED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A7ED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A7ED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A7ED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A7ED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7ED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A7ED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A7ED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A7ED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A7ED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A7ED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A7ED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A7ED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A7ED0"/>
    <w:rPr>
      <w:rFonts w:eastAsiaTheme="majorEastAsia" w:cstheme="majorBidi"/>
      <w:color w:val="272727" w:themeColor="text1" w:themeTint="D8"/>
    </w:rPr>
  </w:style>
  <w:style w:type="paragraph" w:styleId="Titre">
    <w:name w:val="Title"/>
    <w:basedOn w:val="Normal"/>
    <w:next w:val="Normal"/>
    <w:link w:val="TitreCar"/>
    <w:uiPriority w:val="10"/>
    <w:qFormat/>
    <w:rsid w:val="005A7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A7ED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A7ED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A7ED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A7ED0"/>
    <w:pPr>
      <w:spacing w:before="160"/>
      <w:jc w:val="center"/>
    </w:pPr>
    <w:rPr>
      <w:i/>
      <w:iCs/>
      <w:color w:val="404040" w:themeColor="text1" w:themeTint="BF"/>
    </w:rPr>
  </w:style>
  <w:style w:type="character" w:customStyle="1" w:styleId="CitationCar">
    <w:name w:val="Citation Car"/>
    <w:basedOn w:val="Policepardfaut"/>
    <w:link w:val="Citation"/>
    <w:uiPriority w:val="29"/>
    <w:rsid w:val="005A7ED0"/>
    <w:rPr>
      <w:i/>
      <w:iCs/>
      <w:color w:val="404040" w:themeColor="text1" w:themeTint="BF"/>
    </w:rPr>
  </w:style>
  <w:style w:type="paragraph" w:styleId="Paragraphedeliste">
    <w:name w:val="List Paragraph"/>
    <w:aliases w:val="RM1,List Paragraph (numbered (a)),Bullets,Liste couleur - Accent 11,References,Medium Grid 1 - Accent 21,Title Style 1,List Paragraph1,List Bullet Mary,Numbered List Paragraph,ReferencesCxSpLast,List Paragraph nowy,Liste 1,lp1,Dot pt"/>
    <w:basedOn w:val="Normal"/>
    <w:link w:val="ParagraphedelisteCar"/>
    <w:uiPriority w:val="34"/>
    <w:qFormat/>
    <w:rsid w:val="005A7ED0"/>
    <w:pPr>
      <w:ind w:left="720"/>
      <w:contextualSpacing/>
    </w:pPr>
  </w:style>
  <w:style w:type="character" w:styleId="Emphaseintense">
    <w:name w:val="Intense Emphasis"/>
    <w:basedOn w:val="Policepardfaut"/>
    <w:uiPriority w:val="21"/>
    <w:qFormat/>
    <w:rsid w:val="005A7ED0"/>
    <w:rPr>
      <w:i/>
      <w:iCs/>
      <w:color w:val="0F4761" w:themeColor="accent1" w:themeShade="BF"/>
    </w:rPr>
  </w:style>
  <w:style w:type="paragraph" w:styleId="Citationintense">
    <w:name w:val="Intense Quote"/>
    <w:basedOn w:val="Normal"/>
    <w:next w:val="Normal"/>
    <w:link w:val="CitationintenseCar"/>
    <w:uiPriority w:val="30"/>
    <w:qFormat/>
    <w:rsid w:val="005A7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A7ED0"/>
    <w:rPr>
      <w:i/>
      <w:iCs/>
      <w:color w:val="0F4761" w:themeColor="accent1" w:themeShade="BF"/>
    </w:rPr>
  </w:style>
  <w:style w:type="character" w:styleId="Rfrenceintense">
    <w:name w:val="Intense Reference"/>
    <w:basedOn w:val="Policepardfaut"/>
    <w:uiPriority w:val="32"/>
    <w:qFormat/>
    <w:rsid w:val="005A7ED0"/>
    <w:rPr>
      <w:b/>
      <w:bCs/>
      <w:smallCaps/>
      <w:color w:val="0F4761" w:themeColor="accent1" w:themeShade="BF"/>
      <w:spacing w:val="5"/>
    </w:rPr>
  </w:style>
  <w:style w:type="character" w:customStyle="1" w:styleId="ParagraphedelisteCar">
    <w:name w:val="Paragraphe de liste Car"/>
    <w:aliases w:val="RM1 Car,List Paragraph (numbered (a)) Car,Bullets Car,Liste couleur - Accent 11 Car,References Car,Medium Grid 1 - Accent 21 Car,Title Style 1 Car,List Paragraph1 Car,List Bullet Mary Car,Numbered List Paragraph Car,Liste 1 Car"/>
    <w:link w:val="Paragraphedeliste"/>
    <w:uiPriority w:val="34"/>
    <w:qFormat/>
    <w:locked/>
    <w:rsid w:val="005A7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680</Words>
  <Characters>3740</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EDAH</dc:creator>
  <cp:keywords/>
  <dc:description/>
  <cp:lastModifiedBy>Utilisateur Windows</cp:lastModifiedBy>
  <cp:revision>2</cp:revision>
  <dcterms:created xsi:type="dcterms:W3CDTF">2024-04-29T12:20:00Z</dcterms:created>
  <dcterms:modified xsi:type="dcterms:W3CDTF">2024-10-03T06:33:00Z</dcterms:modified>
</cp:coreProperties>
</file>